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2F9B" w14:textId="77777777" w:rsidR="004D6346" w:rsidRDefault="004D6346"/>
    <w:p w14:paraId="684C1696" w14:textId="77777777" w:rsidR="00645C57" w:rsidRDefault="00645C57"/>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A02CE3" w14:paraId="11B07289" w14:textId="77777777" w:rsidTr="00AC46BE">
        <w:tc>
          <w:tcPr>
            <w:tcW w:w="10980" w:type="dxa"/>
            <w:shd w:val="pct15" w:color="000000" w:fill="FFFFFF"/>
            <w:vAlign w:val="center"/>
          </w:tcPr>
          <w:p w14:paraId="4A0B6B0F" w14:textId="77777777" w:rsidR="00A02CE3" w:rsidRPr="004D6346" w:rsidRDefault="00584BD2" w:rsidP="00A02CE3">
            <w:pPr>
              <w:pStyle w:val="Heading1"/>
              <w:rPr>
                <w:i/>
                <w:sz w:val="28"/>
                <w:szCs w:val="28"/>
              </w:rPr>
            </w:pPr>
            <w:r w:rsidRPr="004D6346">
              <w:rPr>
                <w:i/>
                <w:noProof/>
                <w:sz w:val="28"/>
                <w:szCs w:val="28"/>
              </w:rPr>
              <w:drawing>
                <wp:anchor distT="0" distB="0" distL="114300" distR="114300" simplePos="0" relativeHeight="251657728" behindDoc="1" locked="0" layoutInCell="1" allowOverlap="1" wp14:anchorId="61C251A4" wp14:editId="76C2DE9C">
                  <wp:simplePos x="0" y="0"/>
                  <wp:positionH relativeFrom="column">
                    <wp:posOffset>2045970</wp:posOffset>
                  </wp:positionH>
                  <wp:positionV relativeFrom="paragraph">
                    <wp:posOffset>-463550</wp:posOffset>
                  </wp:positionV>
                  <wp:extent cx="2657475" cy="342900"/>
                  <wp:effectExtent l="0" t="0" r="0" b="0"/>
                  <wp:wrapNone/>
                  <wp:docPr id="2" name="Picture 2" descr="WorkForc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Force-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CE3" w:rsidRPr="004D6346">
              <w:rPr>
                <w:i/>
                <w:sz w:val="28"/>
                <w:szCs w:val="28"/>
              </w:rPr>
              <w:t xml:space="preserve">VACANCY ANNOUNCEMENT  </w:t>
            </w:r>
          </w:p>
          <w:p w14:paraId="3316EDE0" w14:textId="77777777" w:rsidR="004D6346" w:rsidRPr="004D6346" w:rsidRDefault="004D6346" w:rsidP="004D6346"/>
        </w:tc>
      </w:tr>
      <w:tr w:rsidR="00A02CE3" w:rsidRPr="00157781" w14:paraId="5EEE7D2A" w14:textId="77777777" w:rsidTr="00AC46BE">
        <w:tc>
          <w:tcPr>
            <w:tcW w:w="10980" w:type="dxa"/>
            <w:shd w:val="clear" w:color="auto" w:fill="auto"/>
            <w:vAlign w:val="center"/>
          </w:tcPr>
          <w:p w14:paraId="3926A22D" w14:textId="77777777" w:rsidR="007F57B0" w:rsidRPr="00157781" w:rsidRDefault="007F57B0" w:rsidP="00070A8E">
            <w:pPr>
              <w:widowControl w:val="0"/>
              <w:tabs>
                <w:tab w:val="left" w:pos="6462"/>
              </w:tabs>
              <w:rPr>
                <w:b/>
                <w:snapToGrid w:val="0"/>
                <w:sz w:val="20"/>
              </w:rPr>
            </w:pPr>
          </w:p>
          <w:p w14:paraId="1A2858DD" w14:textId="77777777" w:rsidR="00A02CE3" w:rsidRPr="00645C57" w:rsidRDefault="00A02CE3" w:rsidP="00070A8E">
            <w:pPr>
              <w:widowControl w:val="0"/>
              <w:tabs>
                <w:tab w:val="left" w:pos="6462"/>
              </w:tabs>
              <w:rPr>
                <w:snapToGrid w:val="0"/>
                <w:sz w:val="22"/>
                <w:szCs w:val="22"/>
              </w:rPr>
            </w:pPr>
            <w:r w:rsidRPr="00645C57">
              <w:rPr>
                <w:b/>
                <w:snapToGrid w:val="0"/>
                <w:sz w:val="22"/>
                <w:szCs w:val="22"/>
              </w:rPr>
              <w:t>Job Title</w:t>
            </w:r>
            <w:r w:rsidR="00FC291C" w:rsidRPr="00645C57">
              <w:rPr>
                <w:snapToGrid w:val="0"/>
                <w:sz w:val="22"/>
                <w:szCs w:val="22"/>
              </w:rPr>
              <w:t xml:space="preserve">:  </w:t>
            </w:r>
            <w:r w:rsidR="0029574D" w:rsidRPr="00645C57">
              <w:rPr>
                <w:snapToGrid w:val="0"/>
                <w:sz w:val="22"/>
                <w:szCs w:val="22"/>
              </w:rPr>
              <w:t xml:space="preserve">         </w:t>
            </w:r>
            <w:r w:rsidR="00645C57" w:rsidRPr="00645C57">
              <w:rPr>
                <w:snapToGrid w:val="0"/>
                <w:sz w:val="22"/>
                <w:szCs w:val="22"/>
              </w:rPr>
              <w:t>Accountant</w:t>
            </w:r>
            <w:r w:rsidR="00EA1532" w:rsidRPr="00645C57">
              <w:rPr>
                <w:snapToGrid w:val="0"/>
                <w:sz w:val="22"/>
                <w:szCs w:val="22"/>
              </w:rPr>
              <w:t xml:space="preserve"> </w:t>
            </w:r>
            <w:r w:rsidR="00ED51A2">
              <w:rPr>
                <w:snapToGrid w:val="0"/>
                <w:sz w:val="22"/>
                <w:szCs w:val="22"/>
              </w:rPr>
              <w:t>IV</w:t>
            </w:r>
            <w:r w:rsidR="00EA1532" w:rsidRPr="00645C57">
              <w:rPr>
                <w:snapToGrid w:val="0"/>
                <w:sz w:val="22"/>
                <w:szCs w:val="22"/>
              </w:rPr>
              <w:t xml:space="preserve">                                         </w:t>
            </w:r>
            <w:r w:rsidR="00157781" w:rsidRPr="00645C57">
              <w:rPr>
                <w:snapToGrid w:val="0"/>
                <w:sz w:val="22"/>
                <w:szCs w:val="22"/>
              </w:rPr>
              <w:t xml:space="preserve">         </w:t>
            </w:r>
            <w:r w:rsidR="00645C57" w:rsidRPr="00645C57">
              <w:rPr>
                <w:snapToGrid w:val="0"/>
                <w:sz w:val="22"/>
                <w:szCs w:val="22"/>
              </w:rPr>
              <w:t xml:space="preserve">      </w:t>
            </w:r>
            <w:r w:rsidR="00AA7018">
              <w:rPr>
                <w:snapToGrid w:val="0"/>
                <w:sz w:val="22"/>
                <w:szCs w:val="22"/>
              </w:rPr>
              <w:t xml:space="preserve"> </w:t>
            </w:r>
            <w:r w:rsidR="00645C57" w:rsidRPr="00645C57">
              <w:rPr>
                <w:snapToGrid w:val="0"/>
                <w:sz w:val="22"/>
                <w:szCs w:val="22"/>
              </w:rPr>
              <w:t xml:space="preserve"> </w:t>
            </w:r>
            <w:r w:rsidRPr="00645C57">
              <w:rPr>
                <w:b/>
                <w:snapToGrid w:val="0"/>
                <w:sz w:val="22"/>
                <w:szCs w:val="22"/>
              </w:rPr>
              <w:t>Department:</w:t>
            </w:r>
            <w:r w:rsidRPr="00645C57">
              <w:rPr>
                <w:snapToGrid w:val="0"/>
                <w:sz w:val="22"/>
                <w:szCs w:val="22"/>
              </w:rPr>
              <w:tab/>
            </w:r>
            <w:r w:rsidR="00645C57">
              <w:rPr>
                <w:snapToGrid w:val="0"/>
                <w:sz w:val="22"/>
                <w:szCs w:val="22"/>
              </w:rPr>
              <w:t xml:space="preserve"> </w:t>
            </w:r>
            <w:r w:rsidR="00AA7018">
              <w:rPr>
                <w:snapToGrid w:val="0"/>
                <w:sz w:val="22"/>
                <w:szCs w:val="22"/>
              </w:rPr>
              <w:t xml:space="preserve">     </w:t>
            </w:r>
            <w:r w:rsidR="00645C57" w:rsidRPr="00645C57">
              <w:rPr>
                <w:snapToGrid w:val="0"/>
                <w:sz w:val="22"/>
                <w:szCs w:val="22"/>
              </w:rPr>
              <w:t>Fiscal</w:t>
            </w:r>
          </w:p>
          <w:p w14:paraId="18E5D8D3" w14:textId="373FD852" w:rsidR="00A02CE3" w:rsidRPr="00645C57" w:rsidRDefault="00A02CE3" w:rsidP="00070A8E">
            <w:pPr>
              <w:widowControl w:val="0"/>
              <w:tabs>
                <w:tab w:val="left" w:pos="6372"/>
              </w:tabs>
              <w:ind w:left="5292" w:hanging="5292"/>
              <w:rPr>
                <w:snapToGrid w:val="0"/>
                <w:sz w:val="22"/>
                <w:szCs w:val="22"/>
              </w:rPr>
            </w:pPr>
            <w:r w:rsidRPr="00645C57">
              <w:rPr>
                <w:b/>
                <w:snapToGrid w:val="0"/>
                <w:sz w:val="22"/>
                <w:szCs w:val="22"/>
              </w:rPr>
              <w:t>Opening Date:</w:t>
            </w:r>
            <w:r w:rsidR="00FB4041" w:rsidRPr="00645C57">
              <w:rPr>
                <w:b/>
                <w:snapToGrid w:val="0"/>
                <w:sz w:val="22"/>
                <w:szCs w:val="22"/>
              </w:rPr>
              <w:t xml:space="preserve">  </w:t>
            </w:r>
            <w:r w:rsidR="00020B73">
              <w:rPr>
                <w:b/>
                <w:snapToGrid w:val="0"/>
                <w:sz w:val="22"/>
                <w:szCs w:val="22"/>
              </w:rPr>
              <w:t>January 202</w:t>
            </w:r>
            <w:r w:rsidR="00E46D61">
              <w:rPr>
                <w:b/>
                <w:snapToGrid w:val="0"/>
                <w:sz w:val="22"/>
                <w:szCs w:val="22"/>
              </w:rPr>
              <w:t>3</w:t>
            </w:r>
            <w:r w:rsidR="008D31B2" w:rsidRPr="00645C57">
              <w:rPr>
                <w:snapToGrid w:val="0"/>
                <w:sz w:val="22"/>
                <w:szCs w:val="22"/>
              </w:rPr>
              <w:tab/>
            </w:r>
            <w:r w:rsidR="00EB04DA" w:rsidRPr="00645C57">
              <w:rPr>
                <w:snapToGrid w:val="0"/>
                <w:sz w:val="22"/>
                <w:szCs w:val="22"/>
              </w:rPr>
              <w:t xml:space="preserve">       </w:t>
            </w:r>
            <w:r w:rsidR="002B2B89" w:rsidRPr="00645C57">
              <w:rPr>
                <w:snapToGrid w:val="0"/>
                <w:sz w:val="22"/>
                <w:szCs w:val="22"/>
              </w:rPr>
              <w:t xml:space="preserve">        </w:t>
            </w:r>
            <w:r w:rsidR="00645C57">
              <w:rPr>
                <w:snapToGrid w:val="0"/>
                <w:sz w:val="22"/>
                <w:szCs w:val="22"/>
              </w:rPr>
              <w:t xml:space="preserve">     </w:t>
            </w:r>
            <w:r w:rsidRPr="00645C57">
              <w:rPr>
                <w:b/>
                <w:snapToGrid w:val="0"/>
                <w:sz w:val="22"/>
                <w:szCs w:val="22"/>
              </w:rPr>
              <w:t>Closing Date:</w:t>
            </w:r>
            <w:r w:rsidR="00FC291C" w:rsidRPr="00645C57">
              <w:rPr>
                <w:b/>
                <w:snapToGrid w:val="0"/>
                <w:sz w:val="22"/>
                <w:szCs w:val="22"/>
              </w:rPr>
              <w:t xml:space="preserve"> </w:t>
            </w:r>
            <w:r w:rsidR="00077385" w:rsidRPr="00645C57">
              <w:rPr>
                <w:b/>
                <w:snapToGrid w:val="0"/>
                <w:sz w:val="22"/>
                <w:szCs w:val="22"/>
              </w:rPr>
              <w:t xml:space="preserve"> </w:t>
            </w:r>
            <w:r w:rsidR="00157781" w:rsidRPr="00645C57">
              <w:rPr>
                <w:b/>
                <w:snapToGrid w:val="0"/>
                <w:sz w:val="22"/>
                <w:szCs w:val="22"/>
              </w:rPr>
              <w:t xml:space="preserve">    </w:t>
            </w:r>
            <w:r w:rsidRPr="00645C57">
              <w:rPr>
                <w:snapToGrid w:val="0"/>
                <w:sz w:val="22"/>
                <w:szCs w:val="22"/>
              </w:rPr>
              <w:t>Until Filled</w:t>
            </w:r>
          </w:p>
          <w:p w14:paraId="44BBD584" w14:textId="77777777" w:rsidR="007F57B0" w:rsidRDefault="00A02CE3" w:rsidP="00A90D30">
            <w:pPr>
              <w:widowControl w:val="0"/>
              <w:rPr>
                <w:snapToGrid w:val="0"/>
                <w:sz w:val="22"/>
                <w:szCs w:val="22"/>
              </w:rPr>
            </w:pPr>
            <w:r w:rsidRPr="00645C57">
              <w:rPr>
                <w:b/>
                <w:snapToGrid w:val="0"/>
                <w:sz w:val="22"/>
                <w:szCs w:val="22"/>
              </w:rPr>
              <w:t>FLSA Status:</w:t>
            </w:r>
            <w:r w:rsidR="0029574D" w:rsidRPr="00645C57">
              <w:rPr>
                <w:b/>
                <w:snapToGrid w:val="0"/>
                <w:sz w:val="22"/>
                <w:szCs w:val="22"/>
              </w:rPr>
              <w:t xml:space="preserve">    </w:t>
            </w:r>
            <w:r w:rsidR="0029574D" w:rsidRPr="00645C57">
              <w:rPr>
                <w:snapToGrid w:val="0"/>
                <w:sz w:val="22"/>
                <w:szCs w:val="22"/>
              </w:rPr>
              <w:t>R</w:t>
            </w:r>
            <w:r w:rsidRPr="00645C57">
              <w:rPr>
                <w:snapToGrid w:val="0"/>
                <w:sz w:val="22"/>
                <w:szCs w:val="22"/>
              </w:rPr>
              <w:t xml:space="preserve">egular Full-Time/Exempt                 </w:t>
            </w:r>
            <w:r w:rsidR="00416F5C" w:rsidRPr="00645C57">
              <w:rPr>
                <w:snapToGrid w:val="0"/>
                <w:sz w:val="22"/>
                <w:szCs w:val="22"/>
              </w:rPr>
              <w:t xml:space="preserve">            </w:t>
            </w:r>
            <w:r w:rsidR="00EB04DA" w:rsidRPr="00645C57">
              <w:rPr>
                <w:snapToGrid w:val="0"/>
                <w:sz w:val="22"/>
                <w:szCs w:val="22"/>
              </w:rPr>
              <w:t xml:space="preserve">      </w:t>
            </w:r>
            <w:r w:rsidR="00070A8E" w:rsidRPr="00645C57">
              <w:rPr>
                <w:snapToGrid w:val="0"/>
                <w:sz w:val="22"/>
                <w:szCs w:val="22"/>
              </w:rPr>
              <w:t xml:space="preserve"> </w:t>
            </w:r>
            <w:r w:rsidR="00157781" w:rsidRPr="00645C57">
              <w:rPr>
                <w:snapToGrid w:val="0"/>
                <w:sz w:val="22"/>
                <w:szCs w:val="22"/>
              </w:rPr>
              <w:t xml:space="preserve">  </w:t>
            </w:r>
            <w:r w:rsidR="00416F5C" w:rsidRPr="00645C57">
              <w:rPr>
                <w:b/>
                <w:snapToGrid w:val="0"/>
                <w:sz w:val="22"/>
                <w:szCs w:val="22"/>
              </w:rPr>
              <w:t>Salary Range:</w:t>
            </w:r>
            <w:r w:rsidR="00157781" w:rsidRPr="00645C57">
              <w:rPr>
                <w:b/>
                <w:snapToGrid w:val="0"/>
                <w:sz w:val="22"/>
                <w:szCs w:val="22"/>
              </w:rPr>
              <w:t xml:space="preserve">   </w:t>
            </w:r>
            <w:r w:rsidR="00416F5C" w:rsidRPr="00645C57">
              <w:rPr>
                <w:snapToGrid w:val="0"/>
                <w:sz w:val="22"/>
                <w:szCs w:val="22"/>
              </w:rPr>
              <w:t xml:space="preserve"> </w:t>
            </w:r>
          </w:p>
          <w:p w14:paraId="74FB1200" w14:textId="77777777" w:rsidR="00A90D30" w:rsidRPr="00157781" w:rsidRDefault="00A90D30" w:rsidP="00A90D30">
            <w:pPr>
              <w:widowControl w:val="0"/>
              <w:rPr>
                <w:sz w:val="20"/>
              </w:rPr>
            </w:pPr>
          </w:p>
        </w:tc>
      </w:tr>
      <w:tr w:rsidR="00A02CE3" w:rsidRPr="00645C57" w14:paraId="281A5A99" w14:textId="77777777" w:rsidTr="00AC46BE">
        <w:trPr>
          <w:trHeight w:val="845"/>
        </w:trPr>
        <w:tc>
          <w:tcPr>
            <w:tcW w:w="10980" w:type="dxa"/>
            <w:vAlign w:val="center"/>
          </w:tcPr>
          <w:p w14:paraId="7E449523" w14:textId="77777777" w:rsidR="001D4A08" w:rsidRPr="00645C57" w:rsidRDefault="00645C57" w:rsidP="00ED51A2">
            <w:pPr>
              <w:rPr>
                <w:rFonts w:cs="Arial"/>
                <w:sz w:val="22"/>
                <w:szCs w:val="22"/>
              </w:rPr>
            </w:pPr>
            <w:r w:rsidRPr="00645C57">
              <w:rPr>
                <w:b/>
                <w:snapToGrid w:val="0"/>
                <w:sz w:val="22"/>
                <w:szCs w:val="22"/>
              </w:rPr>
              <w:t xml:space="preserve">SUMMARY:  </w:t>
            </w:r>
            <w:r w:rsidRPr="00645C57">
              <w:rPr>
                <w:sz w:val="22"/>
                <w:szCs w:val="22"/>
              </w:rPr>
              <w:t xml:space="preserve"> </w:t>
            </w:r>
            <w:r w:rsidR="00ED51A2" w:rsidRPr="00730F84">
              <w:t>Performs complex (journey-level) accounting work. Work involves preparing financial statements, records, documents, and reports. May specialize in some phase of accounting work such as federal funds accounting, property and equipment control, cost, budgeting, or bond servicing. May provide guidance to others. Works under general supervision, with moderate latitude for the use of initiative and independent judgment</w:t>
            </w:r>
            <w:r w:rsidRPr="00645C57">
              <w:rPr>
                <w:sz w:val="22"/>
                <w:szCs w:val="22"/>
              </w:rPr>
              <w:t xml:space="preserve">.  </w:t>
            </w:r>
          </w:p>
        </w:tc>
      </w:tr>
    </w:tbl>
    <w:p w14:paraId="1612753A" w14:textId="77777777" w:rsidR="00C45C42" w:rsidRPr="00645C57" w:rsidRDefault="00C45C42" w:rsidP="00645C57">
      <w:pPr>
        <w:rPr>
          <w:sz w:val="22"/>
          <w:szCs w:val="22"/>
        </w:rPr>
      </w:pPr>
    </w:p>
    <w:tbl>
      <w:tblPr>
        <w:tblW w:w="1095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7"/>
      </w:tblGrid>
      <w:tr w:rsidR="00C45C42" w:rsidRPr="00645C57" w14:paraId="46BC4918" w14:textId="77777777" w:rsidTr="009C1EDF">
        <w:trPr>
          <w:trHeight w:val="710"/>
        </w:trPr>
        <w:tc>
          <w:tcPr>
            <w:tcW w:w="10957" w:type="dxa"/>
          </w:tcPr>
          <w:p w14:paraId="5D27FD26" w14:textId="77777777" w:rsidR="00ED51A2" w:rsidRDefault="00ED51A2" w:rsidP="00ED51A2">
            <w:pPr>
              <w:spacing w:before="288" w:line="278" w:lineRule="exact"/>
            </w:pPr>
            <w:r>
              <w:rPr>
                <w:b/>
                <w:bCs/>
              </w:rPr>
              <w:t>ESSENTIAL DUTIES AND RESPONSIBILITIES:</w:t>
            </w:r>
            <w:r>
              <w:t xml:space="preserve"> This job description is intended to identify the essential functions of a position and should not be interpreted as all-inclusive. The employee may be required to perform or assume additional job-related responsibilities other than those stated in this job description. </w:t>
            </w:r>
          </w:p>
          <w:p w14:paraId="622774CB" w14:textId="77777777" w:rsidR="00ED51A2" w:rsidRPr="00AD0777" w:rsidRDefault="00ED51A2" w:rsidP="00ED51A2">
            <w:pPr>
              <w:spacing w:before="288" w:line="278" w:lineRule="exact"/>
            </w:pPr>
            <w:r>
              <w:t xml:space="preserve">A.  </w:t>
            </w:r>
            <w:r w:rsidRPr="00AD0777">
              <w:t>Prepares financial statements, reports, schedules, and exhibits; prepares and audits general journal entries; and prepares and audits payment, cash, purchase, travel, and related vouchers.</w:t>
            </w:r>
          </w:p>
          <w:p w14:paraId="1EB86F5B" w14:textId="77777777" w:rsidR="00ED51A2" w:rsidRPr="00AD0777" w:rsidRDefault="00ED51A2" w:rsidP="00ED51A2">
            <w:pPr>
              <w:spacing w:before="288" w:line="278" w:lineRule="exact"/>
            </w:pPr>
            <w:r>
              <w:t xml:space="preserve">B.  </w:t>
            </w:r>
            <w:r w:rsidRPr="00AD0777">
              <w:t>Prepares periodic analyses of fund balances and expenditures; and prepares technical reports on estimates, cost data, and budget items.</w:t>
            </w:r>
          </w:p>
          <w:p w14:paraId="2494C735" w14:textId="77777777" w:rsidR="00ED51A2" w:rsidRPr="00AD0777" w:rsidRDefault="00ED51A2" w:rsidP="00ED51A2">
            <w:pPr>
              <w:spacing w:before="288" w:line="278" w:lineRule="exact"/>
            </w:pPr>
            <w:r>
              <w:t xml:space="preserve">C.  </w:t>
            </w:r>
            <w:r w:rsidRPr="00AD0777">
              <w:t>Audits accounting and financial documents for accuracy and compliance with departmental policies and procedures and state and federal statutes.</w:t>
            </w:r>
          </w:p>
          <w:p w14:paraId="7AAB0B3A" w14:textId="77777777" w:rsidR="00ED51A2" w:rsidRPr="00AD0777" w:rsidRDefault="00ED51A2" w:rsidP="00ED51A2">
            <w:pPr>
              <w:spacing w:before="288" w:line="278" w:lineRule="exact"/>
            </w:pPr>
            <w:r>
              <w:t xml:space="preserve">D.  </w:t>
            </w:r>
            <w:r w:rsidRPr="00AD0777">
              <w:t>Classifies, codes, posts, and balances financial and accounting documents and records.</w:t>
            </w:r>
          </w:p>
          <w:p w14:paraId="0EDA9B25" w14:textId="77777777" w:rsidR="00ED51A2" w:rsidRPr="00AD0777" w:rsidRDefault="00ED51A2" w:rsidP="00ED51A2">
            <w:pPr>
              <w:spacing w:before="288" w:line="278" w:lineRule="exact"/>
            </w:pPr>
            <w:r>
              <w:t xml:space="preserve">E.  </w:t>
            </w:r>
            <w:r w:rsidRPr="00AD0777">
              <w:t>Checks accounting operations in progress, and reviews and audits completed financial records for accuracy and conformance with legal and departmental procedures and regulations.</w:t>
            </w:r>
          </w:p>
          <w:p w14:paraId="737EA3A5" w14:textId="77777777" w:rsidR="00ED51A2" w:rsidRPr="00AD0777" w:rsidRDefault="00ED51A2" w:rsidP="00ED51A2">
            <w:pPr>
              <w:spacing w:before="288" w:line="278" w:lineRule="exact"/>
            </w:pPr>
            <w:r>
              <w:t xml:space="preserve">F.  </w:t>
            </w:r>
            <w:r w:rsidRPr="00AD0777">
              <w:t>Maintains and determines the accuracy and reliability of agency accounting records, such as expenditure, fund, appropriation, expense and revenue collection records, and ensures agency assets are accounted for properly.</w:t>
            </w:r>
          </w:p>
          <w:p w14:paraId="5C58DC89" w14:textId="77777777" w:rsidR="00ED51A2" w:rsidRPr="00AD0777" w:rsidRDefault="00ED51A2" w:rsidP="00ED51A2">
            <w:pPr>
              <w:spacing w:before="288" w:line="278" w:lineRule="exact"/>
            </w:pPr>
            <w:r>
              <w:t xml:space="preserve">G.  </w:t>
            </w:r>
            <w:r w:rsidRPr="00AD0777">
              <w:t>Maintains adequate records of expenditures, funds, appropriations, and expenses, as well as revenue collected and deposited.</w:t>
            </w:r>
          </w:p>
          <w:p w14:paraId="58116DAD" w14:textId="77777777" w:rsidR="00ED51A2" w:rsidRPr="00AD0777" w:rsidRDefault="00ED51A2" w:rsidP="00ED51A2">
            <w:pPr>
              <w:spacing w:before="288" w:line="278" w:lineRule="exact"/>
            </w:pPr>
            <w:r>
              <w:t xml:space="preserve">H.  </w:t>
            </w:r>
            <w:r w:rsidRPr="00AD0777">
              <w:t>Maintains systems and controls necessary to provide accurate accounts of expenditures and budget balances for agency programs.</w:t>
            </w:r>
          </w:p>
          <w:p w14:paraId="2FA973FE" w14:textId="77777777" w:rsidR="00ED51A2" w:rsidRPr="00AD0777" w:rsidRDefault="00ED51A2" w:rsidP="00ED51A2">
            <w:pPr>
              <w:spacing w:before="288" w:line="278" w:lineRule="exact"/>
            </w:pPr>
            <w:r w:rsidRPr="00AD0777">
              <w:lastRenderedPageBreak/>
              <w:t xml:space="preserve"> </w:t>
            </w:r>
            <w:r>
              <w:t xml:space="preserve">I.  </w:t>
            </w:r>
            <w:r w:rsidRPr="00AD0777">
              <w:t>Analyzes and recommends improvements, adaptations, or revisions to the accounting system and accompanying procedures.</w:t>
            </w:r>
          </w:p>
          <w:p w14:paraId="12D3B191" w14:textId="77777777" w:rsidR="00ED51A2" w:rsidRPr="00AD0777" w:rsidRDefault="00ED51A2" w:rsidP="00ED51A2">
            <w:pPr>
              <w:spacing w:before="288" w:line="278" w:lineRule="exact"/>
            </w:pPr>
            <w:r>
              <w:t>J.  R</w:t>
            </w:r>
            <w:r w:rsidRPr="00AD0777">
              <w:t>esearches and reconciles discrepancies in accounts, bank statements, or appropriation balances; and reports findings.</w:t>
            </w:r>
          </w:p>
          <w:p w14:paraId="5E4FB66E" w14:textId="77777777" w:rsidR="00ED51A2" w:rsidRPr="00AD0777" w:rsidRDefault="00ED51A2" w:rsidP="00ED51A2">
            <w:pPr>
              <w:spacing w:before="288" w:line="278" w:lineRule="exact"/>
            </w:pPr>
            <w:r>
              <w:t xml:space="preserve">K.  </w:t>
            </w:r>
            <w:r w:rsidRPr="00AD0777">
              <w:t>Assists in planning procedures and regulations to control the disbursement of allocated funds and in preparing letters of instruction, manual revisions, and related forms as necessary.</w:t>
            </w:r>
          </w:p>
          <w:p w14:paraId="331680FD" w14:textId="77777777" w:rsidR="00ED51A2" w:rsidRPr="00AD0777" w:rsidRDefault="00ED51A2" w:rsidP="00ED51A2">
            <w:pPr>
              <w:spacing w:before="288" w:line="278" w:lineRule="exact"/>
            </w:pPr>
            <w:r>
              <w:t xml:space="preserve">L.  </w:t>
            </w:r>
            <w:r w:rsidRPr="00AD0777">
              <w:t>May instruct staff on the maintenance of accounting records on expenditures and revenue collected, the posting of general ledgers, and the posting of journal entries and/or adjustments.</w:t>
            </w:r>
          </w:p>
          <w:p w14:paraId="015F3A63" w14:textId="77777777" w:rsidR="00ED51A2" w:rsidRPr="00AD0777" w:rsidRDefault="00ED51A2" w:rsidP="00ED51A2">
            <w:pPr>
              <w:spacing w:before="288" w:line="278" w:lineRule="exact"/>
            </w:pPr>
            <w:r>
              <w:t xml:space="preserve">M.  </w:t>
            </w:r>
            <w:r w:rsidRPr="00AD0777">
              <w:t>May direct the maintenance of accounting records on receipts and disbursements in compliance with state and federal statutes, policies, and procedures.</w:t>
            </w:r>
          </w:p>
          <w:p w14:paraId="3D4F9E97" w14:textId="77777777" w:rsidR="00ED51A2" w:rsidRPr="00AD0777" w:rsidRDefault="00ED51A2" w:rsidP="00ED51A2">
            <w:pPr>
              <w:spacing w:before="288" w:line="278" w:lineRule="exact"/>
            </w:pPr>
            <w:r>
              <w:t xml:space="preserve">N.  </w:t>
            </w:r>
            <w:r w:rsidRPr="00AD0777">
              <w:t>May assist in planning accounting and administrative support work procedures. May provide guidance to others.</w:t>
            </w:r>
          </w:p>
          <w:p w14:paraId="3283CA4B" w14:textId="77777777" w:rsidR="00ED51A2" w:rsidRPr="00AD0777" w:rsidRDefault="00ED51A2" w:rsidP="00ED51A2">
            <w:pPr>
              <w:spacing w:before="288" w:line="278" w:lineRule="exact"/>
            </w:pPr>
            <w:r>
              <w:t xml:space="preserve">O.  </w:t>
            </w:r>
            <w:r w:rsidRPr="00AD0777">
              <w:t>Performs related work as assigned.</w:t>
            </w:r>
          </w:p>
          <w:p w14:paraId="04F47079" w14:textId="62E53644" w:rsidR="00ED51A2" w:rsidRDefault="00ED51A2" w:rsidP="00ED51A2">
            <w:pPr>
              <w:spacing w:before="288" w:line="278" w:lineRule="exact"/>
            </w:pPr>
            <w:r w:rsidRPr="00AD0777">
              <w:rPr>
                <w:b/>
              </w:rPr>
              <w:t>SUPERVISORY RESPONSIBILITIES</w:t>
            </w:r>
            <w:r w:rsidRPr="00AD0777">
              <w:t>: This position is responsible to the Chief Financial Officer and Accounting Manager</w:t>
            </w:r>
            <w:r w:rsidR="00B34C76" w:rsidRPr="00AD0777">
              <w:t xml:space="preserve">. </w:t>
            </w:r>
          </w:p>
          <w:p w14:paraId="308B818A" w14:textId="77777777" w:rsidR="00ED51A2" w:rsidRDefault="00ED51A2" w:rsidP="00ED51A2">
            <w:pPr>
              <w:spacing w:before="288" w:line="278" w:lineRule="exact"/>
            </w:pPr>
            <w:r w:rsidRPr="00AD0777">
              <w:rPr>
                <w:b/>
              </w:rPr>
              <w:t>QUALIFICATIONS</w:t>
            </w:r>
            <w:r w:rsidRPr="00AD0777">
              <w:t>: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2F54BB8" w14:textId="77777777" w:rsidR="00ED51A2" w:rsidRDefault="00ED51A2" w:rsidP="00ED51A2">
            <w:pPr>
              <w:spacing w:before="288" w:line="278" w:lineRule="exact"/>
            </w:pPr>
            <w:r w:rsidRPr="00AD0777">
              <w:rPr>
                <w:b/>
              </w:rPr>
              <w:t>EDUCATION and/or EXPERIENCE</w:t>
            </w:r>
            <w:r>
              <w:rPr>
                <w:b/>
              </w:rPr>
              <w:t>:</w:t>
            </w:r>
            <w:r w:rsidRPr="00AD0777">
              <w:t xml:space="preserve"> Experience in accounting and financial operations. Graduation from an accredited four-year college or university with major coursework in accounting, finance, or a related field is generally preferred. Experience and education may be substituted for one another.</w:t>
            </w:r>
          </w:p>
          <w:p w14:paraId="4766C1B6" w14:textId="77777777" w:rsidR="00ED51A2" w:rsidRDefault="00ED51A2" w:rsidP="00ED51A2">
            <w:pPr>
              <w:tabs>
                <w:tab w:val="left" w:pos="2310"/>
              </w:tabs>
              <w:jc w:val="both"/>
              <w:rPr>
                <w:b/>
                <w:szCs w:val="24"/>
              </w:rPr>
            </w:pPr>
          </w:p>
          <w:p w14:paraId="4C22444C" w14:textId="09BA2CAD" w:rsidR="00ED51A2" w:rsidRPr="00C41917" w:rsidRDefault="00ED51A2" w:rsidP="00ED51A2">
            <w:pPr>
              <w:tabs>
                <w:tab w:val="left" w:pos="2310"/>
              </w:tabs>
              <w:jc w:val="both"/>
              <w:rPr>
                <w:szCs w:val="24"/>
              </w:rPr>
            </w:pPr>
            <w:r w:rsidRPr="00C41917">
              <w:rPr>
                <w:b/>
                <w:szCs w:val="24"/>
              </w:rPr>
              <w:t xml:space="preserve">LANGUAGE SKILLS:  </w:t>
            </w:r>
            <w:r w:rsidRPr="00C41917">
              <w:rPr>
                <w:szCs w:val="24"/>
              </w:rPr>
              <w:t>Ability to read, analyze, and interpret general business periodicals, professional journals, technical procedures, or governmental regulations</w:t>
            </w:r>
            <w:r w:rsidR="00B34C76" w:rsidRPr="00C41917">
              <w:rPr>
                <w:szCs w:val="24"/>
              </w:rPr>
              <w:t xml:space="preserve">. </w:t>
            </w:r>
            <w:r w:rsidRPr="00C41917">
              <w:rPr>
                <w:szCs w:val="24"/>
              </w:rPr>
              <w:t>Ability to write reports, business correspondence, and procedure manuals.  Ability to effectively present information and respond to questions from group of managers, clients, customers, and the general public.</w:t>
            </w:r>
          </w:p>
          <w:p w14:paraId="59A30800" w14:textId="77777777" w:rsidR="00ED51A2" w:rsidRPr="00C41917" w:rsidRDefault="00ED51A2" w:rsidP="00ED51A2">
            <w:pPr>
              <w:tabs>
                <w:tab w:val="left" w:pos="2310"/>
              </w:tabs>
              <w:jc w:val="both"/>
              <w:rPr>
                <w:b/>
                <w:szCs w:val="24"/>
              </w:rPr>
            </w:pPr>
          </w:p>
          <w:p w14:paraId="5E76D385" w14:textId="77777777" w:rsidR="00ED51A2" w:rsidRPr="00C41917" w:rsidRDefault="00ED51A2" w:rsidP="00ED51A2">
            <w:pPr>
              <w:tabs>
                <w:tab w:val="left" w:pos="2310"/>
              </w:tabs>
              <w:jc w:val="both"/>
              <w:rPr>
                <w:szCs w:val="24"/>
              </w:rPr>
            </w:pPr>
            <w:r w:rsidRPr="00C41917">
              <w:rPr>
                <w:b/>
                <w:szCs w:val="24"/>
              </w:rPr>
              <w:t xml:space="preserve">MATHEMATICAL SKILLS:  </w:t>
            </w:r>
            <w:r w:rsidRPr="00C41917">
              <w:rPr>
                <w:szCs w:val="24"/>
              </w:rPr>
              <w:t>Ability to comprehend and apply principles of modern algebra, and statistical theory.</w:t>
            </w:r>
          </w:p>
          <w:p w14:paraId="0F9D8842" w14:textId="77777777" w:rsidR="00ED51A2" w:rsidRPr="00C41917" w:rsidRDefault="00ED51A2" w:rsidP="00ED51A2">
            <w:pPr>
              <w:tabs>
                <w:tab w:val="left" w:pos="2310"/>
              </w:tabs>
              <w:jc w:val="both"/>
              <w:rPr>
                <w:b/>
                <w:szCs w:val="24"/>
              </w:rPr>
            </w:pPr>
          </w:p>
          <w:p w14:paraId="298117E1" w14:textId="1E7E42D5" w:rsidR="00ED51A2" w:rsidRPr="00C41917" w:rsidRDefault="00ED51A2" w:rsidP="00ED51A2">
            <w:pPr>
              <w:tabs>
                <w:tab w:val="left" w:pos="2310"/>
              </w:tabs>
              <w:jc w:val="both"/>
              <w:rPr>
                <w:szCs w:val="24"/>
              </w:rPr>
            </w:pPr>
            <w:r w:rsidRPr="00C41917">
              <w:rPr>
                <w:b/>
                <w:szCs w:val="24"/>
              </w:rPr>
              <w:t xml:space="preserve">REASONING ABILITY:  </w:t>
            </w:r>
            <w:r w:rsidRPr="00C41917">
              <w:rPr>
                <w:szCs w:val="24"/>
              </w:rPr>
              <w:t>Ability to solve practical problems and deal with a variety of concrete variables in situations where only limited standardization exists</w:t>
            </w:r>
            <w:r w:rsidR="00B34C76" w:rsidRPr="00C41917">
              <w:rPr>
                <w:szCs w:val="24"/>
              </w:rPr>
              <w:t xml:space="preserve">. </w:t>
            </w:r>
            <w:r w:rsidRPr="00C41917">
              <w:rPr>
                <w:szCs w:val="24"/>
              </w:rPr>
              <w:t>Ability to interpret a variety of instructions furnished in written, oral, diagram, or schedule form.</w:t>
            </w:r>
          </w:p>
          <w:p w14:paraId="587DECA7" w14:textId="77777777" w:rsidR="00ED51A2" w:rsidRPr="00C41917" w:rsidRDefault="00ED51A2" w:rsidP="00ED51A2">
            <w:pPr>
              <w:tabs>
                <w:tab w:val="left" w:pos="2310"/>
              </w:tabs>
              <w:jc w:val="both"/>
              <w:rPr>
                <w:szCs w:val="24"/>
              </w:rPr>
            </w:pPr>
          </w:p>
          <w:p w14:paraId="71EC9B4E" w14:textId="77777777" w:rsidR="00ED51A2" w:rsidRPr="00C41917" w:rsidRDefault="00ED51A2" w:rsidP="00ED51A2">
            <w:pPr>
              <w:tabs>
                <w:tab w:val="left" w:pos="2310"/>
              </w:tabs>
              <w:jc w:val="both"/>
              <w:rPr>
                <w:szCs w:val="24"/>
              </w:rPr>
            </w:pPr>
            <w:r w:rsidRPr="00C41917">
              <w:rPr>
                <w:b/>
                <w:bCs/>
                <w:szCs w:val="24"/>
              </w:rPr>
              <w:lastRenderedPageBreak/>
              <w:t>OTHER SKILLS and ABILITIES:</w:t>
            </w:r>
            <w:r w:rsidRPr="00C41917">
              <w:rPr>
                <w:szCs w:val="24"/>
              </w:rPr>
              <w:t xml:space="preserve">  Knowledge of general and fund accounting principles and practices, state financial management requirements, and relevant Federal, State and local laws, rules, and regulations.  </w:t>
            </w:r>
            <w:r w:rsidRPr="00C41917">
              <w:rPr>
                <w:b/>
                <w:szCs w:val="22"/>
                <w:u w:val="single"/>
              </w:rPr>
              <w:t>Knowledge/Skills/Abilities to</w:t>
            </w:r>
            <w:r w:rsidRPr="00C41917">
              <w:rPr>
                <w:b/>
                <w:szCs w:val="22"/>
              </w:rPr>
              <w:t xml:space="preserve">: </w:t>
            </w:r>
            <w:r w:rsidRPr="00C41917">
              <w:rPr>
                <w:szCs w:val="24"/>
              </w:rPr>
              <w:t>Ability to interpret and make decisions in accordance with existing laws, rules and regulations; communicate at a highly professional level with all staff levels in both oral and written forms; prepare complex documents and reports, manage time and organize work to meet agency and legal deadlines; use computer software such as Microsoft Office products Word, Excel, Access, MIPS accounting software a plus, other software as needed to perform job functions.</w:t>
            </w:r>
          </w:p>
          <w:p w14:paraId="1D0EFAF8" w14:textId="77777777" w:rsidR="00ED51A2" w:rsidRPr="00C41917" w:rsidRDefault="00ED51A2" w:rsidP="00ED51A2">
            <w:pPr>
              <w:tabs>
                <w:tab w:val="left" w:pos="2310"/>
              </w:tabs>
              <w:jc w:val="both"/>
              <w:rPr>
                <w:szCs w:val="24"/>
              </w:rPr>
            </w:pPr>
          </w:p>
          <w:p w14:paraId="62BECAD7" w14:textId="77777777" w:rsidR="00ED51A2" w:rsidRPr="00C41917" w:rsidRDefault="00ED51A2" w:rsidP="00ED51A2">
            <w:pPr>
              <w:tabs>
                <w:tab w:val="left" w:pos="2310"/>
              </w:tabs>
              <w:jc w:val="both"/>
              <w:rPr>
                <w:szCs w:val="24"/>
              </w:rPr>
            </w:pPr>
            <w:r w:rsidRPr="00C41917">
              <w:rPr>
                <w:b/>
                <w:szCs w:val="24"/>
              </w:rPr>
              <w:t xml:space="preserve">PHYSICAL DEMANDS:  </w:t>
            </w:r>
            <w:r w:rsidRPr="00C41917">
              <w:rPr>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use hands to finger, handle, or feel; reach with hands and arms; and talk or hear.  The employee is occasionally required to stand; walk; and stoop, kneel, crouch, or crawl.  The employee must regularly lift and/or move up to 10 pounds, frequently li</w:t>
            </w:r>
            <w:r w:rsidR="00A90D30">
              <w:rPr>
                <w:szCs w:val="24"/>
              </w:rPr>
              <w:t xml:space="preserve">ft and/or move up to 25 pounds.  </w:t>
            </w:r>
            <w:r w:rsidRPr="00C41917">
              <w:rPr>
                <w:szCs w:val="24"/>
              </w:rPr>
              <w:t>Specific vision abilities required by this job include close vision, distance vision, and ability to adjust focus.</w:t>
            </w:r>
          </w:p>
          <w:p w14:paraId="4C7896A3" w14:textId="77777777" w:rsidR="00ED51A2" w:rsidRPr="00C41917" w:rsidRDefault="00ED51A2" w:rsidP="00ED51A2">
            <w:pPr>
              <w:tabs>
                <w:tab w:val="left" w:pos="2310"/>
              </w:tabs>
              <w:jc w:val="both"/>
              <w:rPr>
                <w:b/>
                <w:szCs w:val="24"/>
              </w:rPr>
            </w:pPr>
          </w:p>
          <w:p w14:paraId="4937C0B5" w14:textId="77777777" w:rsidR="00ED51A2" w:rsidRPr="00C41917" w:rsidRDefault="00ED51A2" w:rsidP="00ED51A2">
            <w:pPr>
              <w:tabs>
                <w:tab w:val="left" w:pos="2310"/>
              </w:tabs>
              <w:jc w:val="both"/>
              <w:rPr>
                <w:szCs w:val="24"/>
              </w:rPr>
            </w:pPr>
            <w:r w:rsidRPr="00C41917">
              <w:rPr>
                <w:b/>
                <w:szCs w:val="24"/>
              </w:rPr>
              <w:t xml:space="preserve">WORK ENVIRONMENT:  </w:t>
            </w:r>
            <w:r w:rsidRPr="00C41917">
              <w:rPr>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w:t>
            </w:r>
          </w:p>
          <w:p w14:paraId="7AE8C341" w14:textId="77777777" w:rsidR="00ED51A2" w:rsidRPr="00AD0777" w:rsidRDefault="00ED51A2" w:rsidP="00ED51A2">
            <w:pPr>
              <w:tabs>
                <w:tab w:val="left" w:pos="2310"/>
              </w:tabs>
              <w:jc w:val="both"/>
              <w:rPr>
                <w:rFonts w:ascii="Arial Narrow" w:hAnsi="Arial Narrow"/>
                <w:color w:val="FF0000"/>
              </w:rPr>
            </w:pPr>
          </w:p>
          <w:p w14:paraId="4E979D35" w14:textId="77777777" w:rsidR="00ED51A2" w:rsidRPr="00AD0777" w:rsidRDefault="00ED51A2" w:rsidP="00ED51A2">
            <w:pPr>
              <w:rPr>
                <w:b/>
                <w:bCs/>
                <w:color w:val="FF0000"/>
              </w:rPr>
            </w:pPr>
          </w:p>
          <w:p w14:paraId="2976D931" w14:textId="77777777" w:rsidR="00ED51A2" w:rsidRPr="00AD0777" w:rsidRDefault="00ED51A2" w:rsidP="00ED51A2">
            <w:pPr>
              <w:rPr>
                <w:b/>
                <w:bCs/>
                <w:color w:val="FF0000"/>
              </w:rPr>
            </w:pPr>
          </w:p>
          <w:p w14:paraId="4F76E599" w14:textId="77777777" w:rsidR="00ED51A2" w:rsidRPr="00AD0777" w:rsidRDefault="00ED51A2" w:rsidP="00ED51A2">
            <w:pPr>
              <w:tabs>
                <w:tab w:val="left" w:pos="2310"/>
              </w:tabs>
              <w:jc w:val="both"/>
              <w:rPr>
                <w:b/>
                <w:color w:val="FF0000"/>
                <w:szCs w:val="24"/>
              </w:rPr>
            </w:pPr>
          </w:p>
          <w:p w14:paraId="1F52EC49" w14:textId="77777777" w:rsidR="00384526" w:rsidRDefault="00384526" w:rsidP="00ED51A2">
            <w:pPr>
              <w:spacing w:before="288" w:line="278" w:lineRule="exact"/>
              <w:rPr>
                <w:rFonts w:cs="Arial"/>
                <w:bCs/>
                <w:sz w:val="20"/>
              </w:rPr>
            </w:pPr>
          </w:p>
          <w:p w14:paraId="4B3F6DDB" w14:textId="77777777" w:rsidR="00384526" w:rsidRDefault="00384526" w:rsidP="00384526">
            <w:pPr>
              <w:pStyle w:val="Subtitle"/>
              <w:jc w:val="both"/>
              <w:rPr>
                <w:rFonts w:cs="Arial"/>
                <w:bCs w:val="0"/>
                <w:sz w:val="20"/>
                <w:szCs w:val="20"/>
              </w:rPr>
            </w:pPr>
          </w:p>
          <w:p w14:paraId="5B665362" w14:textId="77777777" w:rsidR="00384526" w:rsidRDefault="00384526" w:rsidP="00384526">
            <w:pPr>
              <w:pStyle w:val="Subtitle"/>
              <w:jc w:val="both"/>
              <w:rPr>
                <w:rFonts w:cs="Arial"/>
                <w:bCs w:val="0"/>
                <w:sz w:val="20"/>
                <w:szCs w:val="20"/>
              </w:rPr>
            </w:pPr>
          </w:p>
          <w:p w14:paraId="7F99B4DC" w14:textId="77B71842" w:rsidR="00C45C42" w:rsidRPr="00645C57" w:rsidRDefault="00384526" w:rsidP="00E549C6">
            <w:pPr>
              <w:pStyle w:val="Subtitle"/>
              <w:jc w:val="both"/>
              <w:rPr>
                <w:snapToGrid w:val="0"/>
                <w:sz w:val="22"/>
                <w:szCs w:val="22"/>
              </w:rPr>
            </w:pPr>
            <w:r>
              <w:rPr>
                <w:rFonts w:cs="Arial"/>
                <w:bCs w:val="0"/>
                <w:sz w:val="20"/>
                <w:szCs w:val="20"/>
              </w:rPr>
              <w:t>TO APPLY</w:t>
            </w:r>
            <w:r w:rsidR="00ED51A2">
              <w:rPr>
                <w:rFonts w:cs="Arial"/>
                <w:b w:val="0"/>
                <w:bCs w:val="0"/>
                <w:sz w:val="20"/>
                <w:szCs w:val="20"/>
              </w:rPr>
              <w:t xml:space="preserve">:  </w:t>
            </w:r>
            <w:r>
              <w:rPr>
                <w:rFonts w:cs="Arial"/>
                <w:b w:val="0"/>
                <w:bCs w:val="0"/>
                <w:sz w:val="20"/>
                <w:szCs w:val="20"/>
              </w:rPr>
              <w:t>e</w:t>
            </w:r>
            <w:r w:rsidR="00ED51A2">
              <w:rPr>
                <w:rFonts w:cs="Arial"/>
                <w:b w:val="0"/>
                <w:bCs w:val="0"/>
                <w:sz w:val="20"/>
                <w:szCs w:val="20"/>
              </w:rPr>
              <w:t>mail (</w:t>
            </w:r>
            <w:hyperlink r:id="rId9" w:history="1">
              <w:r w:rsidR="0035766F" w:rsidRPr="0008482E">
                <w:rPr>
                  <w:rStyle w:val="Hyperlink"/>
                  <w:rFonts w:cs="Arial"/>
                  <w:b w:val="0"/>
                  <w:bCs w:val="0"/>
                  <w:sz w:val="20"/>
                  <w:szCs w:val="20"/>
                </w:rPr>
                <w:t>hr@wfsdallas.com</w:t>
              </w:r>
            </w:hyperlink>
            <w:r w:rsidR="00ED51A2">
              <w:rPr>
                <w:rFonts w:cs="Arial"/>
                <w:b w:val="0"/>
                <w:bCs w:val="0"/>
                <w:sz w:val="20"/>
                <w:szCs w:val="20"/>
              </w:rPr>
              <w:t>)</w:t>
            </w:r>
            <w:r w:rsidR="0035766F">
              <w:rPr>
                <w:rFonts w:cs="Arial"/>
                <w:b w:val="0"/>
                <w:bCs w:val="0"/>
                <w:sz w:val="20"/>
                <w:szCs w:val="20"/>
              </w:rPr>
              <w:t xml:space="preserve"> or bstein@wfsdallas.com</w:t>
            </w:r>
            <w:r>
              <w:rPr>
                <w:rFonts w:cs="Arial"/>
                <w:b w:val="0"/>
                <w:bCs w:val="0"/>
                <w:sz w:val="20"/>
                <w:szCs w:val="20"/>
              </w:rPr>
              <w:t xml:space="preserve"> resume and salary requirement to:  Workforce Solution Greater Dallas, ATTN:  H.R. Department, 500 N. Akard Street, Suite 3030, Dallas, TX  75201.  You may also apply via www.wo</w:t>
            </w:r>
            <w:r w:rsidR="0035766F">
              <w:rPr>
                <w:rFonts w:cs="Arial"/>
                <w:b w:val="0"/>
                <w:bCs w:val="0"/>
                <w:sz w:val="20"/>
                <w:szCs w:val="20"/>
              </w:rPr>
              <w:t xml:space="preserve">rkintexas.com </w:t>
            </w:r>
            <w:r w:rsidR="0035766F" w:rsidRPr="00877656">
              <w:rPr>
                <w:rFonts w:cs="Arial"/>
                <w:sz w:val="20"/>
                <w:szCs w:val="20"/>
              </w:rPr>
              <w:t>Job Number</w:t>
            </w:r>
            <w:r w:rsidR="0035766F">
              <w:rPr>
                <w:rFonts w:cs="Arial"/>
                <w:b w:val="0"/>
                <w:bCs w:val="0"/>
                <w:sz w:val="20"/>
                <w:szCs w:val="20"/>
              </w:rPr>
              <w:t xml:space="preserve"> </w:t>
            </w:r>
            <w:r w:rsidR="00237200">
              <w:rPr>
                <w:rFonts w:cs="Arial"/>
                <w:bCs w:val="0"/>
                <w:sz w:val="20"/>
                <w:szCs w:val="20"/>
              </w:rPr>
              <w:t>(</w:t>
            </w:r>
            <w:r w:rsidR="00877656">
              <w:rPr>
                <w:rFonts w:cs="Arial"/>
                <w:bCs w:val="0"/>
                <w:sz w:val="20"/>
                <w:szCs w:val="20"/>
              </w:rPr>
              <w:t>15763702</w:t>
            </w:r>
            <w:r w:rsidR="0035766F" w:rsidRPr="0035766F">
              <w:rPr>
                <w:rFonts w:cs="Arial"/>
                <w:bCs w:val="0"/>
                <w:sz w:val="20"/>
                <w:szCs w:val="20"/>
              </w:rPr>
              <w:t>)</w:t>
            </w:r>
            <w:r>
              <w:rPr>
                <w:rFonts w:cs="Arial"/>
                <w:b w:val="0"/>
                <w:bCs w:val="0"/>
                <w:sz w:val="20"/>
                <w:szCs w:val="20"/>
              </w:rPr>
              <w:t>.  Applicants who are invited to interview for the position will be required to also complete an employment application.  Information contained in resumes and letters of application is subject to verification by Workforce Solutions Greater Dallas.  Workforce Solutions Greater Dallas is an EEO/AA/Drug Free Workplace Employer and complies fully with the Americans with Disabilities Act (ADA).  Auxiliary aids and services are available upon request to individuals with disabilities.  WFSDallas is a proud partner of the American Job Center Network and an EEO/AA/ADA Employer.   100% of paid costs would be from Federal Funds.</w:t>
            </w:r>
          </w:p>
        </w:tc>
      </w:tr>
    </w:tbl>
    <w:p w14:paraId="404CEA39" w14:textId="77777777" w:rsidR="007F57B0" w:rsidRDefault="007F57B0" w:rsidP="00ED51A2">
      <w:pPr>
        <w:tabs>
          <w:tab w:val="left" w:pos="2310"/>
        </w:tabs>
        <w:rPr>
          <w:b/>
          <w:bCs/>
          <w:szCs w:val="24"/>
        </w:rPr>
      </w:pPr>
    </w:p>
    <w:sectPr w:rsidR="007F57B0" w:rsidSect="004D6346">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94C5" w14:textId="77777777" w:rsidR="00886899" w:rsidRDefault="00886899" w:rsidP="00E755DE">
      <w:r>
        <w:separator/>
      </w:r>
    </w:p>
  </w:endnote>
  <w:endnote w:type="continuationSeparator" w:id="0">
    <w:p w14:paraId="28743554" w14:textId="77777777" w:rsidR="00886899" w:rsidRDefault="00886899" w:rsidP="00E7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6E61" w14:textId="77777777" w:rsidR="00886899" w:rsidRDefault="00886899" w:rsidP="00E755DE">
      <w:r>
        <w:separator/>
      </w:r>
    </w:p>
  </w:footnote>
  <w:footnote w:type="continuationSeparator" w:id="0">
    <w:p w14:paraId="17A836B3" w14:textId="77777777" w:rsidR="00886899" w:rsidRDefault="00886899" w:rsidP="00E75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1FC5"/>
    <w:multiLevelType w:val="hybridMultilevel"/>
    <w:tmpl w:val="FD00A1AE"/>
    <w:lvl w:ilvl="0" w:tplc="04090015">
      <w:start w:val="1"/>
      <w:numFmt w:val="upperLetter"/>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F1F216E"/>
    <w:multiLevelType w:val="hybridMultilevel"/>
    <w:tmpl w:val="A59262FA"/>
    <w:lvl w:ilvl="0" w:tplc="980A320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1D7208"/>
    <w:multiLevelType w:val="hybridMultilevel"/>
    <w:tmpl w:val="A59262FA"/>
    <w:lvl w:ilvl="0" w:tplc="980A320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D80548"/>
    <w:multiLevelType w:val="hybridMultilevel"/>
    <w:tmpl w:val="EB66272E"/>
    <w:lvl w:ilvl="0" w:tplc="A63CBB2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80587785">
    <w:abstractNumId w:val="3"/>
  </w:num>
  <w:num w:numId="2" w16cid:durableId="552691617">
    <w:abstractNumId w:val="1"/>
  </w:num>
  <w:num w:numId="3" w16cid:durableId="765804045">
    <w:abstractNumId w:val="2"/>
  </w:num>
  <w:num w:numId="4" w16cid:durableId="12691208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242942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E3"/>
    <w:rsid w:val="00011408"/>
    <w:rsid w:val="00020B73"/>
    <w:rsid w:val="000223EA"/>
    <w:rsid w:val="00051679"/>
    <w:rsid w:val="0007056A"/>
    <w:rsid w:val="00070A8E"/>
    <w:rsid w:val="0007637F"/>
    <w:rsid w:val="00077385"/>
    <w:rsid w:val="000A22F5"/>
    <w:rsid w:val="000A5CF2"/>
    <w:rsid w:val="000B1BFE"/>
    <w:rsid w:val="000B638C"/>
    <w:rsid w:val="000B7F4D"/>
    <w:rsid w:val="000E135F"/>
    <w:rsid w:val="000E1F1B"/>
    <w:rsid w:val="000F1ED5"/>
    <w:rsid w:val="000F24CE"/>
    <w:rsid w:val="00106DD9"/>
    <w:rsid w:val="00117883"/>
    <w:rsid w:val="001249C7"/>
    <w:rsid w:val="00125931"/>
    <w:rsid w:val="0014301E"/>
    <w:rsid w:val="00157781"/>
    <w:rsid w:val="001641B4"/>
    <w:rsid w:val="00194B95"/>
    <w:rsid w:val="00197B1E"/>
    <w:rsid w:val="001A41E8"/>
    <w:rsid w:val="001B22AB"/>
    <w:rsid w:val="001B428E"/>
    <w:rsid w:val="001B5D20"/>
    <w:rsid w:val="001D1074"/>
    <w:rsid w:val="001D4A08"/>
    <w:rsid w:val="001F0118"/>
    <w:rsid w:val="001F013E"/>
    <w:rsid w:val="001F135E"/>
    <w:rsid w:val="001F54DF"/>
    <w:rsid w:val="00202D1E"/>
    <w:rsid w:val="00224EA5"/>
    <w:rsid w:val="00237200"/>
    <w:rsid w:val="002424C4"/>
    <w:rsid w:val="00242C35"/>
    <w:rsid w:val="00257410"/>
    <w:rsid w:val="00266552"/>
    <w:rsid w:val="00273214"/>
    <w:rsid w:val="0029574D"/>
    <w:rsid w:val="002A1698"/>
    <w:rsid w:val="002B0D62"/>
    <w:rsid w:val="002B2B89"/>
    <w:rsid w:val="002D1E5B"/>
    <w:rsid w:val="002D2756"/>
    <w:rsid w:val="002E101E"/>
    <w:rsid w:val="002E3882"/>
    <w:rsid w:val="002E479F"/>
    <w:rsid w:val="002E79A1"/>
    <w:rsid w:val="002F0141"/>
    <w:rsid w:val="00323239"/>
    <w:rsid w:val="00327BEA"/>
    <w:rsid w:val="00332726"/>
    <w:rsid w:val="00333008"/>
    <w:rsid w:val="00334B02"/>
    <w:rsid w:val="003371D0"/>
    <w:rsid w:val="00346605"/>
    <w:rsid w:val="0034681E"/>
    <w:rsid w:val="0035766F"/>
    <w:rsid w:val="00357C05"/>
    <w:rsid w:val="00384526"/>
    <w:rsid w:val="00386719"/>
    <w:rsid w:val="003944FF"/>
    <w:rsid w:val="003A6CA1"/>
    <w:rsid w:val="003D1DF6"/>
    <w:rsid w:val="003D35A0"/>
    <w:rsid w:val="003D388B"/>
    <w:rsid w:val="003D626C"/>
    <w:rsid w:val="003E4662"/>
    <w:rsid w:val="00416F5C"/>
    <w:rsid w:val="00424E39"/>
    <w:rsid w:val="0043163E"/>
    <w:rsid w:val="00436279"/>
    <w:rsid w:val="00437C0D"/>
    <w:rsid w:val="004405C3"/>
    <w:rsid w:val="0044436E"/>
    <w:rsid w:val="00454BD7"/>
    <w:rsid w:val="00481390"/>
    <w:rsid w:val="00482E1E"/>
    <w:rsid w:val="00491837"/>
    <w:rsid w:val="004A0B04"/>
    <w:rsid w:val="004A5690"/>
    <w:rsid w:val="004A79DB"/>
    <w:rsid w:val="004D541F"/>
    <w:rsid w:val="004D6346"/>
    <w:rsid w:val="004D671B"/>
    <w:rsid w:val="004E3486"/>
    <w:rsid w:val="004E4EBB"/>
    <w:rsid w:val="004E7E6B"/>
    <w:rsid w:val="004F39F9"/>
    <w:rsid w:val="00502C96"/>
    <w:rsid w:val="00506097"/>
    <w:rsid w:val="00547484"/>
    <w:rsid w:val="00570E89"/>
    <w:rsid w:val="00571C00"/>
    <w:rsid w:val="00584BD2"/>
    <w:rsid w:val="005A1F46"/>
    <w:rsid w:val="005A3EDE"/>
    <w:rsid w:val="005A42DD"/>
    <w:rsid w:val="005B02F1"/>
    <w:rsid w:val="005B243A"/>
    <w:rsid w:val="005B264F"/>
    <w:rsid w:val="005B2A56"/>
    <w:rsid w:val="005B36CF"/>
    <w:rsid w:val="005B417B"/>
    <w:rsid w:val="005B4479"/>
    <w:rsid w:val="005C03BE"/>
    <w:rsid w:val="005C75D8"/>
    <w:rsid w:val="005D73F3"/>
    <w:rsid w:val="00614D46"/>
    <w:rsid w:val="00642383"/>
    <w:rsid w:val="00645C57"/>
    <w:rsid w:val="006632F2"/>
    <w:rsid w:val="006721E6"/>
    <w:rsid w:val="00675566"/>
    <w:rsid w:val="00684838"/>
    <w:rsid w:val="006A1432"/>
    <w:rsid w:val="006C554C"/>
    <w:rsid w:val="006D62B0"/>
    <w:rsid w:val="007210E5"/>
    <w:rsid w:val="0072625A"/>
    <w:rsid w:val="00727495"/>
    <w:rsid w:val="00730553"/>
    <w:rsid w:val="007364B5"/>
    <w:rsid w:val="007437A9"/>
    <w:rsid w:val="00745749"/>
    <w:rsid w:val="0076646A"/>
    <w:rsid w:val="007818E0"/>
    <w:rsid w:val="007839A5"/>
    <w:rsid w:val="007858A0"/>
    <w:rsid w:val="007A4DD8"/>
    <w:rsid w:val="007A6969"/>
    <w:rsid w:val="007B3E27"/>
    <w:rsid w:val="007E06E7"/>
    <w:rsid w:val="007F57B0"/>
    <w:rsid w:val="007F7DE3"/>
    <w:rsid w:val="008145A0"/>
    <w:rsid w:val="0082691B"/>
    <w:rsid w:val="00860DE0"/>
    <w:rsid w:val="00877656"/>
    <w:rsid w:val="00886899"/>
    <w:rsid w:val="00895E31"/>
    <w:rsid w:val="008B468A"/>
    <w:rsid w:val="008C11A5"/>
    <w:rsid w:val="008C1A3C"/>
    <w:rsid w:val="008C5B23"/>
    <w:rsid w:val="008D31B2"/>
    <w:rsid w:val="008D32DE"/>
    <w:rsid w:val="008D602D"/>
    <w:rsid w:val="008D612D"/>
    <w:rsid w:val="008F58E2"/>
    <w:rsid w:val="00917D7C"/>
    <w:rsid w:val="0093119C"/>
    <w:rsid w:val="00946E5B"/>
    <w:rsid w:val="00960B6A"/>
    <w:rsid w:val="009C1EDF"/>
    <w:rsid w:val="009D3DFE"/>
    <w:rsid w:val="009D419F"/>
    <w:rsid w:val="009E1073"/>
    <w:rsid w:val="009E2321"/>
    <w:rsid w:val="00A00E7D"/>
    <w:rsid w:val="00A02CE3"/>
    <w:rsid w:val="00A22A28"/>
    <w:rsid w:val="00A25A95"/>
    <w:rsid w:val="00A40C49"/>
    <w:rsid w:val="00A5472B"/>
    <w:rsid w:val="00A62F49"/>
    <w:rsid w:val="00A7133E"/>
    <w:rsid w:val="00A7146C"/>
    <w:rsid w:val="00A84F70"/>
    <w:rsid w:val="00A90D30"/>
    <w:rsid w:val="00A9313F"/>
    <w:rsid w:val="00A950FC"/>
    <w:rsid w:val="00AA4FDE"/>
    <w:rsid w:val="00AA7018"/>
    <w:rsid w:val="00AB6041"/>
    <w:rsid w:val="00AC46BE"/>
    <w:rsid w:val="00AE39AC"/>
    <w:rsid w:val="00B01AC9"/>
    <w:rsid w:val="00B23308"/>
    <w:rsid w:val="00B32058"/>
    <w:rsid w:val="00B34C76"/>
    <w:rsid w:val="00B3592D"/>
    <w:rsid w:val="00B4796F"/>
    <w:rsid w:val="00B51DEE"/>
    <w:rsid w:val="00B544D3"/>
    <w:rsid w:val="00B65FAE"/>
    <w:rsid w:val="00B67659"/>
    <w:rsid w:val="00B72FF3"/>
    <w:rsid w:val="00B73685"/>
    <w:rsid w:val="00B86BE6"/>
    <w:rsid w:val="00B87DF8"/>
    <w:rsid w:val="00B907C9"/>
    <w:rsid w:val="00B97099"/>
    <w:rsid w:val="00BB1FF6"/>
    <w:rsid w:val="00C40191"/>
    <w:rsid w:val="00C4049F"/>
    <w:rsid w:val="00C44F0C"/>
    <w:rsid w:val="00C45C42"/>
    <w:rsid w:val="00C51DB2"/>
    <w:rsid w:val="00C52D35"/>
    <w:rsid w:val="00C638A5"/>
    <w:rsid w:val="00C93B80"/>
    <w:rsid w:val="00C97BD3"/>
    <w:rsid w:val="00CA374E"/>
    <w:rsid w:val="00CB0DC7"/>
    <w:rsid w:val="00CC49F7"/>
    <w:rsid w:val="00CF4514"/>
    <w:rsid w:val="00D05CC4"/>
    <w:rsid w:val="00D227ED"/>
    <w:rsid w:val="00D27DB1"/>
    <w:rsid w:val="00D3622D"/>
    <w:rsid w:val="00D55628"/>
    <w:rsid w:val="00D63234"/>
    <w:rsid w:val="00D73707"/>
    <w:rsid w:val="00D77E63"/>
    <w:rsid w:val="00D8354C"/>
    <w:rsid w:val="00D912B9"/>
    <w:rsid w:val="00DC1D64"/>
    <w:rsid w:val="00DC4512"/>
    <w:rsid w:val="00DC7D32"/>
    <w:rsid w:val="00DD333A"/>
    <w:rsid w:val="00DD4219"/>
    <w:rsid w:val="00DD4CC6"/>
    <w:rsid w:val="00DE5BB6"/>
    <w:rsid w:val="00DF670E"/>
    <w:rsid w:val="00E024F7"/>
    <w:rsid w:val="00E119F1"/>
    <w:rsid w:val="00E17095"/>
    <w:rsid w:val="00E2004C"/>
    <w:rsid w:val="00E27D17"/>
    <w:rsid w:val="00E30110"/>
    <w:rsid w:val="00E34887"/>
    <w:rsid w:val="00E46D61"/>
    <w:rsid w:val="00E549C6"/>
    <w:rsid w:val="00E611E0"/>
    <w:rsid w:val="00E7026C"/>
    <w:rsid w:val="00E755DE"/>
    <w:rsid w:val="00E9203A"/>
    <w:rsid w:val="00EA1532"/>
    <w:rsid w:val="00EB04DA"/>
    <w:rsid w:val="00EB1109"/>
    <w:rsid w:val="00EC22CB"/>
    <w:rsid w:val="00EC7190"/>
    <w:rsid w:val="00ED2A60"/>
    <w:rsid w:val="00ED51A2"/>
    <w:rsid w:val="00ED52CE"/>
    <w:rsid w:val="00F05AE8"/>
    <w:rsid w:val="00F35D52"/>
    <w:rsid w:val="00F422FA"/>
    <w:rsid w:val="00F46C7A"/>
    <w:rsid w:val="00F65D3C"/>
    <w:rsid w:val="00F85674"/>
    <w:rsid w:val="00F9250E"/>
    <w:rsid w:val="00FA02F9"/>
    <w:rsid w:val="00FB4041"/>
    <w:rsid w:val="00FB5BB1"/>
    <w:rsid w:val="00FB6C7B"/>
    <w:rsid w:val="00FC031C"/>
    <w:rsid w:val="00FC291C"/>
    <w:rsid w:val="00FC5951"/>
    <w:rsid w:val="00FC6B72"/>
    <w:rsid w:val="00FC6BF4"/>
    <w:rsid w:val="00FE3047"/>
    <w:rsid w:val="00FF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90889"/>
  <w15:chartTrackingRefBased/>
  <w15:docId w15:val="{E45FD188-57DD-4DE4-97D7-877014B9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CE3"/>
    <w:rPr>
      <w:rFonts w:ascii="Arial" w:hAnsi="Arial"/>
      <w:sz w:val="24"/>
    </w:rPr>
  </w:style>
  <w:style w:type="paragraph" w:styleId="Heading1">
    <w:name w:val="heading 1"/>
    <w:basedOn w:val="Normal"/>
    <w:next w:val="Normal"/>
    <w:qFormat/>
    <w:rsid w:val="00A02CE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2CE3"/>
    <w:pPr>
      <w:jc w:val="both"/>
    </w:pPr>
    <w:rPr>
      <w:snapToGrid w:val="0"/>
      <w:sz w:val="20"/>
    </w:rPr>
  </w:style>
  <w:style w:type="paragraph" w:styleId="Subtitle">
    <w:name w:val="Subtitle"/>
    <w:basedOn w:val="Normal"/>
    <w:link w:val="SubtitleChar"/>
    <w:qFormat/>
    <w:rsid w:val="00A02CE3"/>
    <w:rPr>
      <w:b/>
      <w:bCs/>
      <w:szCs w:val="24"/>
    </w:rPr>
  </w:style>
  <w:style w:type="paragraph" w:styleId="BodyText2">
    <w:name w:val="Body Text 2"/>
    <w:basedOn w:val="Normal"/>
    <w:rsid w:val="007A6969"/>
    <w:pPr>
      <w:spacing w:after="120" w:line="480" w:lineRule="auto"/>
    </w:pPr>
  </w:style>
  <w:style w:type="character" w:styleId="Hyperlink">
    <w:name w:val="Hyperlink"/>
    <w:rsid w:val="00684838"/>
    <w:rPr>
      <w:color w:val="0000FF"/>
      <w:u w:val="single"/>
    </w:rPr>
  </w:style>
  <w:style w:type="paragraph" w:styleId="Header">
    <w:name w:val="header"/>
    <w:basedOn w:val="Normal"/>
    <w:link w:val="HeaderChar"/>
    <w:uiPriority w:val="99"/>
    <w:rsid w:val="00E755DE"/>
    <w:pPr>
      <w:tabs>
        <w:tab w:val="center" w:pos="4680"/>
        <w:tab w:val="right" w:pos="9360"/>
      </w:tabs>
    </w:pPr>
  </w:style>
  <w:style w:type="character" w:customStyle="1" w:styleId="HeaderChar">
    <w:name w:val="Header Char"/>
    <w:link w:val="Header"/>
    <w:uiPriority w:val="99"/>
    <w:rsid w:val="00E755DE"/>
    <w:rPr>
      <w:rFonts w:ascii="Arial" w:hAnsi="Arial"/>
      <w:sz w:val="24"/>
    </w:rPr>
  </w:style>
  <w:style w:type="paragraph" w:styleId="Footer">
    <w:name w:val="footer"/>
    <w:basedOn w:val="Normal"/>
    <w:link w:val="FooterChar"/>
    <w:rsid w:val="00E755DE"/>
    <w:pPr>
      <w:tabs>
        <w:tab w:val="center" w:pos="4680"/>
        <w:tab w:val="right" w:pos="9360"/>
      </w:tabs>
    </w:pPr>
  </w:style>
  <w:style w:type="character" w:customStyle="1" w:styleId="FooterChar">
    <w:name w:val="Footer Char"/>
    <w:link w:val="Footer"/>
    <w:rsid w:val="00E755DE"/>
    <w:rPr>
      <w:rFonts w:ascii="Arial" w:hAnsi="Arial"/>
      <w:sz w:val="24"/>
    </w:rPr>
  </w:style>
  <w:style w:type="character" w:customStyle="1" w:styleId="SubtitleChar">
    <w:name w:val="Subtitle Char"/>
    <w:link w:val="Subtitle"/>
    <w:rsid w:val="007F57B0"/>
    <w:rPr>
      <w:rFonts w:ascii="Arial" w:hAnsi="Arial"/>
      <w:b/>
      <w:bCs/>
      <w:sz w:val="24"/>
      <w:szCs w:val="24"/>
    </w:rPr>
  </w:style>
  <w:style w:type="paragraph" w:styleId="BalloonText">
    <w:name w:val="Balloon Text"/>
    <w:basedOn w:val="Normal"/>
    <w:link w:val="BalloonTextChar"/>
    <w:rsid w:val="00357C05"/>
    <w:rPr>
      <w:rFonts w:ascii="Segoe UI" w:hAnsi="Segoe UI" w:cs="Segoe UI"/>
      <w:sz w:val="18"/>
      <w:szCs w:val="18"/>
    </w:rPr>
  </w:style>
  <w:style w:type="character" w:customStyle="1" w:styleId="BalloonTextChar">
    <w:name w:val="Balloon Text Char"/>
    <w:link w:val="BalloonText"/>
    <w:rsid w:val="00357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1964">
      <w:bodyDiv w:val="1"/>
      <w:marLeft w:val="0"/>
      <w:marRight w:val="0"/>
      <w:marTop w:val="0"/>
      <w:marBottom w:val="0"/>
      <w:divBdr>
        <w:top w:val="none" w:sz="0" w:space="0" w:color="auto"/>
        <w:left w:val="none" w:sz="0" w:space="0" w:color="auto"/>
        <w:bottom w:val="none" w:sz="0" w:space="0" w:color="auto"/>
        <w:right w:val="none" w:sz="0" w:space="0" w:color="auto"/>
      </w:divBdr>
    </w:div>
    <w:div w:id="709453232">
      <w:bodyDiv w:val="1"/>
      <w:marLeft w:val="0"/>
      <w:marRight w:val="0"/>
      <w:marTop w:val="0"/>
      <w:marBottom w:val="0"/>
      <w:divBdr>
        <w:top w:val="none" w:sz="0" w:space="0" w:color="auto"/>
        <w:left w:val="none" w:sz="0" w:space="0" w:color="auto"/>
        <w:bottom w:val="none" w:sz="0" w:space="0" w:color="auto"/>
        <w:right w:val="none" w:sz="0" w:space="0" w:color="auto"/>
      </w:divBdr>
    </w:div>
    <w:div w:id="1514956774">
      <w:bodyDiv w:val="1"/>
      <w:marLeft w:val="0"/>
      <w:marRight w:val="0"/>
      <w:marTop w:val="0"/>
      <w:marBottom w:val="0"/>
      <w:divBdr>
        <w:top w:val="none" w:sz="0" w:space="0" w:color="auto"/>
        <w:left w:val="none" w:sz="0" w:space="0" w:color="auto"/>
        <w:bottom w:val="none" w:sz="0" w:space="0" w:color="auto"/>
        <w:right w:val="none" w:sz="0" w:space="0" w:color="auto"/>
      </w:divBdr>
    </w:div>
    <w:div w:id="18584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wfsdall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A163-170C-413A-9364-F8DFB26C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VACANCY ANNOUNCEMENT</vt:lpstr>
    </vt:vector>
  </TitlesOfParts>
  <Company>WORKFORCE</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ANNOUNCEMENT</dc:title>
  <dc:subject/>
  <dc:creator>WORKFORCE</dc:creator>
  <cp:keywords/>
  <cp:lastModifiedBy>Barbara Stein</cp:lastModifiedBy>
  <cp:revision>2</cp:revision>
  <cp:lastPrinted>2019-08-19T16:21:00Z</cp:lastPrinted>
  <dcterms:created xsi:type="dcterms:W3CDTF">2023-01-04T21:47:00Z</dcterms:created>
  <dcterms:modified xsi:type="dcterms:W3CDTF">2023-01-04T21:47:00Z</dcterms:modified>
</cp:coreProperties>
</file>